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F8" w:rsidRDefault="00CA15F8" w:rsidP="00CA15F8">
      <w:pPr>
        <w:pStyle w:val="Heading3"/>
        <w:spacing w:line="362" w:lineRule="exact"/>
        <w:ind w:left="155" w:right="3546" w:hanging="9"/>
        <w:jc w:val="left"/>
      </w:pPr>
      <w:r>
        <w:t>Fr</w:t>
      </w:r>
      <w:bookmarkStart w:id="0" w:name="_GoBack"/>
      <w:bookmarkEnd w:id="0"/>
      <w:r>
        <w:t>equently Asked Questions (FAQ) Minor Offenses</w:t>
      </w:r>
    </w:p>
    <w:p w:rsidR="00CA15F8" w:rsidRDefault="00CA15F8" w:rsidP="00CA15F8">
      <w:pPr>
        <w:pStyle w:val="BodyText"/>
        <w:spacing w:before="7"/>
        <w:rPr>
          <w:b/>
          <w:i/>
          <w:sz w:val="20"/>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48"/>
        <w:gridCol w:w="6507"/>
      </w:tblGrid>
      <w:tr w:rsidR="00CA15F8" w:rsidTr="001A53BE">
        <w:trPr>
          <w:trHeight w:hRule="exact" w:val="4840"/>
        </w:trPr>
        <w:tc>
          <w:tcPr>
            <w:tcW w:w="2948" w:type="dxa"/>
            <w:tcBorders>
              <w:bottom w:val="single" w:sz="2" w:space="0" w:color="000000"/>
              <w:right w:val="single" w:sz="2" w:space="0" w:color="000000"/>
            </w:tcBorders>
          </w:tcPr>
          <w:p w:rsidR="00CA15F8" w:rsidRDefault="00CA15F8" w:rsidP="001A53BE">
            <w:pPr>
              <w:pStyle w:val="TableParagraph"/>
              <w:spacing w:before="143" w:line="244" w:lineRule="auto"/>
              <w:ind w:left="142" w:right="619"/>
              <w:rPr>
                <w:rFonts w:ascii="Arial" w:hAnsi="Arial"/>
                <w:b/>
              </w:rPr>
            </w:pPr>
            <w:r>
              <w:rPr>
                <w:rFonts w:ascii="Arial" w:hAnsi="Arial"/>
                <w:b/>
              </w:rPr>
              <w:t>What’s the definition of a Minor Offense?</w:t>
            </w:r>
          </w:p>
        </w:tc>
        <w:tc>
          <w:tcPr>
            <w:tcW w:w="6507" w:type="dxa"/>
            <w:tcBorders>
              <w:left w:val="single" w:sz="2" w:space="0" w:color="000000"/>
              <w:bottom w:val="single" w:sz="2" w:space="0" w:color="000000"/>
            </w:tcBorders>
          </w:tcPr>
          <w:p w:rsidR="00CA15F8" w:rsidRDefault="00CA15F8" w:rsidP="001A53BE">
            <w:pPr>
              <w:pStyle w:val="TableParagraph"/>
              <w:spacing w:before="141" w:line="242" w:lineRule="auto"/>
              <w:ind w:left="141" w:right="279"/>
              <w:rPr>
                <w:rFonts w:ascii="Arial"/>
                <w:b/>
                <w:i/>
              </w:rPr>
            </w:pPr>
            <w:r>
              <w:rPr>
                <w:rFonts w:ascii="Arial"/>
              </w:rPr>
              <w:t xml:space="preserve">A Minor Offense is the </w:t>
            </w:r>
            <w:r>
              <w:rPr>
                <w:rFonts w:ascii="Arial"/>
                <w:b/>
                <w:i/>
              </w:rPr>
              <w:t>failure to demonstrate a school-wide expectation, social skill, or procedure, i.e. failure to:</w:t>
            </w:r>
          </w:p>
          <w:p w:rsidR="00CA15F8" w:rsidRPr="005F205F" w:rsidRDefault="00CA15F8" w:rsidP="001A53BE">
            <w:pPr>
              <w:pStyle w:val="TableParagraph"/>
              <w:tabs>
                <w:tab w:val="left" w:pos="3481"/>
              </w:tabs>
              <w:spacing w:before="164" w:line="302" w:lineRule="auto"/>
              <w:ind w:left="326" w:right="1637"/>
              <w:rPr>
                <w:spacing w:val="-1"/>
                <w:w w:val="99"/>
              </w:rPr>
            </w:pPr>
            <w:r>
              <w:t>Be Safe,</w:t>
            </w:r>
            <w:r>
              <w:rPr>
                <w:spacing w:val="-3"/>
              </w:rPr>
              <w:t xml:space="preserve"> </w:t>
            </w:r>
            <w:r>
              <w:t>Responsible,</w:t>
            </w:r>
            <w:r>
              <w:rPr>
                <w:spacing w:val="-2"/>
              </w:rPr>
              <w:t xml:space="preserve"> </w:t>
            </w:r>
            <w:r>
              <w:t>Respectful</w:t>
            </w:r>
            <w:r>
              <w:tab/>
              <w:t>Work</w:t>
            </w:r>
            <w:r>
              <w:rPr>
                <w:spacing w:val="-4"/>
              </w:rPr>
              <w:t xml:space="preserve"> </w:t>
            </w:r>
            <w:r>
              <w:t>with</w:t>
            </w:r>
            <w:r>
              <w:rPr>
                <w:spacing w:val="-5"/>
              </w:rPr>
              <w:t xml:space="preserve"> </w:t>
            </w:r>
            <w:r>
              <w:t>Others</w:t>
            </w:r>
            <w:r>
              <w:rPr>
                <w:spacing w:val="-1"/>
                <w:w w:val="99"/>
              </w:rPr>
              <w:t xml:space="preserve"> </w:t>
            </w:r>
            <w:r>
              <w:t>Follow</w:t>
            </w:r>
            <w:r>
              <w:rPr>
                <w:spacing w:val="-4"/>
              </w:rPr>
              <w:t xml:space="preserve"> </w:t>
            </w:r>
            <w:r>
              <w:t>Instructions</w:t>
            </w:r>
            <w:r>
              <w:tab/>
              <w:t>Wait Your</w:t>
            </w:r>
            <w:r>
              <w:rPr>
                <w:spacing w:val="-8"/>
              </w:rPr>
              <w:t xml:space="preserve"> </w:t>
            </w:r>
            <w:r>
              <w:t>Turn</w:t>
            </w:r>
          </w:p>
          <w:p w:rsidR="00CA15F8" w:rsidRDefault="00CA15F8" w:rsidP="001A53BE">
            <w:pPr>
              <w:pStyle w:val="TableParagraph"/>
              <w:tabs>
                <w:tab w:val="left" w:pos="3482"/>
              </w:tabs>
              <w:spacing w:before="1" w:line="302" w:lineRule="auto"/>
              <w:ind w:left="326" w:right="995"/>
            </w:pPr>
            <w:r>
              <w:t>Stay</w:t>
            </w:r>
            <w:r>
              <w:rPr>
                <w:spacing w:val="-3"/>
              </w:rPr>
              <w:t xml:space="preserve"> </w:t>
            </w:r>
            <w:r>
              <w:t>On</w:t>
            </w:r>
            <w:r>
              <w:rPr>
                <w:spacing w:val="-2"/>
              </w:rPr>
              <w:t xml:space="preserve"> </w:t>
            </w:r>
            <w:r>
              <w:t>Task</w:t>
            </w:r>
            <w:r>
              <w:tab/>
              <w:t>Mind Your</w:t>
            </w:r>
            <w:r>
              <w:rPr>
                <w:spacing w:val="-10"/>
              </w:rPr>
              <w:t xml:space="preserve"> </w:t>
            </w:r>
            <w:r>
              <w:t>Own</w:t>
            </w:r>
            <w:r>
              <w:rPr>
                <w:spacing w:val="-5"/>
              </w:rPr>
              <w:t xml:space="preserve"> </w:t>
            </w:r>
            <w:r>
              <w:t>Business</w:t>
            </w:r>
            <w:r>
              <w:rPr>
                <w:spacing w:val="-1"/>
                <w:w w:val="99"/>
              </w:rPr>
              <w:t xml:space="preserve"> </w:t>
            </w:r>
            <w:r>
              <w:t>Get the</w:t>
            </w:r>
            <w:r>
              <w:rPr>
                <w:spacing w:val="-6"/>
              </w:rPr>
              <w:t xml:space="preserve"> </w:t>
            </w:r>
            <w:r>
              <w:t>Teacher’s</w:t>
            </w:r>
            <w:r>
              <w:rPr>
                <w:spacing w:val="-3"/>
              </w:rPr>
              <w:t xml:space="preserve"> </w:t>
            </w:r>
            <w:r>
              <w:t>Attention</w:t>
            </w:r>
            <w:r>
              <w:tab/>
              <w:t>Resist</w:t>
            </w:r>
            <w:r>
              <w:rPr>
                <w:spacing w:val="-6"/>
              </w:rPr>
              <w:t xml:space="preserve"> </w:t>
            </w:r>
            <w:r>
              <w:t>Peer</w:t>
            </w:r>
            <w:r>
              <w:rPr>
                <w:spacing w:val="-6"/>
              </w:rPr>
              <w:t xml:space="preserve"> </w:t>
            </w:r>
            <w:r>
              <w:t>Pressure</w:t>
            </w:r>
            <w:r>
              <w:rPr>
                <w:spacing w:val="-1"/>
                <w:w w:val="99"/>
              </w:rPr>
              <w:t xml:space="preserve"> </w:t>
            </w:r>
            <w:r>
              <w:t>Accept “No” for</w:t>
            </w:r>
            <w:r>
              <w:rPr>
                <w:spacing w:val="-6"/>
              </w:rPr>
              <w:t xml:space="preserve"> </w:t>
            </w:r>
            <w:r>
              <w:t>an</w:t>
            </w:r>
            <w:r>
              <w:rPr>
                <w:spacing w:val="-3"/>
              </w:rPr>
              <w:t xml:space="preserve"> </w:t>
            </w:r>
            <w:r>
              <w:t>Answer</w:t>
            </w:r>
            <w:r>
              <w:tab/>
              <w:t>Properly Use of</w:t>
            </w:r>
            <w:r>
              <w:rPr>
                <w:spacing w:val="-17"/>
              </w:rPr>
              <w:t xml:space="preserve"> </w:t>
            </w:r>
            <w:r>
              <w:t>Materials</w:t>
            </w:r>
          </w:p>
          <w:p w:rsidR="00CA15F8" w:rsidRDefault="00CA15F8" w:rsidP="001A53BE">
            <w:pPr>
              <w:pStyle w:val="TableParagraph"/>
              <w:tabs>
                <w:tab w:val="left" w:pos="3482"/>
              </w:tabs>
              <w:spacing w:before="1"/>
              <w:ind w:left="326" w:right="279"/>
            </w:pPr>
            <w:r>
              <w:t>Accept</w:t>
            </w:r>
            <w:r>
              <w:rPr>
                <w:spacing w:val="-3"/>
              </w:rPr>
              <w:t xml:space="preserve"> </w:t>
            </w:r>
            <w:r>
              <w:t>Feedback/Criticism</w:t>
            </w:r>
            <w:r>
              <w:tab/>
              <w:t>Comply to Dress</w:t>
            </w:r>
            <w:r>
              <w:rPr>
                <w:spacing w:val="-4"/>
              </w:rPr>
              <w:t xml:space="preserve"> </w:t>
            </w:r>
            <w:r>
              <w:t>Code</w:t>
            </w:r>
          </w:p>
          <w:p w:rsidR="00CA15F8" w:rsidRDefault="00CA15F8" w:rsidP="001A53BE">
            <w:pPr>
              <w:pStyle w:val="TableParagraph"/>
              <w:tabs>
                <w:tab w:val="left" w:pos="3482"/>
              </w:tabs>
              <w:spacing w:before="65"/>
              <w:ind w:left="326" w:right="279"/>
            </w:pPr>
            <w:r>
              <w:t>Ask</w:t>
            </w:r>
            <w:r>
              <w:rPr>
                <w:spacing w:val="-4"/>
              </w:rPr>
              <w:t xml:space="preserve"> </w:t>
            </w:r>
            <w:r>
              <w:t>Permission</w:t>
            </w:r>
            <w:r>
              <w:tab/>
              <w:t>Respect Personal</w:t>
            </w:r>
            <w:r>
              <w:rPr>
                <w:spacing w:val="-14"/>
              </w:rPr>
              <w:t xml:space="preserve"> </w:t>
            </w:r>
            <w:r>
              <w:t>Space</w:t>
            </w:r>
          </w:p>
          <w:p w:rsidR="00CA15F8" w:rsidRDefault="00CA15F8" w:rsidP="001A53BE">
            <w:pPr>
              <w:pStyle w:val="TableParagraph"/>
              <w:tabs>
                <w:tab w:val="left" w:pos="3482"/>
              </w:tabs>
              <w:spacing w:before="66"/>
              <w:ind w:left="326" w:right="279"/>
            </w:pPr>
            <w:r>
              <w:t>Disagree</w:t>
            </w:r>
            <w:r>
              <w:rPr>
                <w:spacing w:val="-5"/>
              </w:rPr>
              <w:t xml:space="preserve"> </w:t>
            </w:r>
            <w:r>
              <w:t>Appropriately</w:t>
            </w:r>
            <w:r>
              <w:tab/>
              <w:t>Be</w:t>
            </w:r>
            <w:r>
              <w:rPr>
                <w:spacing w:val="-9"/>
              </w:rPr>
              <w:t xml:space="preserve"> </w:t>
            </w:r>
            <w:r>
              <w:t>On-Time</w:t>
            </w:r>
          </w:p>
          <w:p w:rsidR="00CA15F8" w:rsidRDefault="00CA15F8" w:rsidP="001A53BE">
            <w:pPr>
              <w:pStyle w:val="TableParagraph"/>
              <w:tabs>
                <w:tab w:val="left" w:pos="3483"/>
              </w:tabs>
              <w:spacing w:before="66"/>
              <w:ind w:left="326" w:right="279"/>
            </w:pPr>
            <w:r>
              <w:t>Listen</w:t>
            </w:r>
            <w:r>
              <w:tab/>
              <w:t>Stay in Designated</w:t>
            </w:r>
            <w:r>
              <w:rPr>
                <w:spacing w:val="-18"/>
              </w:rPr>
              <w:t xml:space="preserve"> </w:t>
            </w:r>
            <w:r>
              <w:t>Areas</w:t>
            </w:r>
          </w:p>
          <w:p w:rsidR="00CA15F8" w:rsidRDefault="00CA15F8" w:rsidP="001A53BE">
            <w:pPr>
              <w:pStyle w:val="TableParagraph"/>
              <w:tabs>
                <w:tab w:val="left" w:pos="3481"/>
              </w:tabs>
              <w:spacing w:before="65" w:line="302" w:lineRule="auto"/>
              <w:ind w:left="326" w:right="936"/>
            </w:pPr>
            <w:r>
              <w:t>Use Appropriate</w:t>
            </w:r>
            <w:r>
              <w:rPr>
                <w:spacing w:val="-7"/>
              </w:rPr>
              <w:t xml:space="preserve"> </w:t>
            </w:r>
            <w:r>
              <w:t>Voice</w:t>
            </w:r>
            <w:r>
              <w:rPr>
                <w:spacing w:val="-3"/>
              </w:rPr>
              <w:t xml:space="preserve"> </w:t>
            </w:r>
            <w:r>
              <w:t>Tone</w:t>
            </w:r>
            <w:r>
              <w:tab/>
              <w:t>Properly Dispose</w:t>
            </w:r>
            <w:r>
              <w:rPr>
                <w:spacing w:val="-11"/>
              </w:rPr>
              <w:t xml:space="preserve"> </w:t>
            </w:r>
            <w:r>
              <w:t>of</w:t>
            </w:r>
            <w:r>
              <w:rPr>
                <w:spacing w:val="-6"/>
              </w:rPr>
              <w:t xml:space="preserve"> </w:t>
            </w:r>
            <w:r>
              <w:t>Trash</w:t>
            </w:r>
            <w:r>
              <w:rPr>
                <w:w w:val="99"/>
              </w:rPr>
              <w:t xml:space="preserve"> </w:t>
            </w:r>
            <w:r>
              <w:t>Ask</w:t>
            </w:r>
            <w:r>
              <w:rPr>
                <w:spacing w:val="-1"/>
              </w:rPr>
              <w:t xml:space="preserve"> </w:t>
            </w:r>
            <w:r>
              <w:t>for</w:t>
            </w:r>
            <w:r>
              <w:rPr>
                <w:spacing w:val="-1"/>
              </w:rPr>
              <w:t xml:space="preserve"> </w:t>
            </w:r>
            <w:r>
              <w:t>Help</w:t>
            </w:r>
            <w:r>
              <w:tab/>
              <w:t>Dress for</w:t>
            </w:r>
            <w:r>
              <w:rPr>
                <w:spacing w:val="-7"/>
              </w:rPr>
              <w:t xml:space="preserve"> </w:t>
            </w:r>
            <w:r>
              <w:t>PE</w:t>
            </w:r>
          </w:p>
          <w:p w:rsidR="00CA15F8" w:rsidRDefault="00CA15F8" w:rsidP="001A53BE">
            <w:pPr>
              <w:pStyle w:val="TableParagraph"/>
              <w:tabs>
                <w:tab w:val="left" w:pos="3483"/>
              </w:tabs>
              <w:ind w:left="326" w:right="279"/>
            </w:pPr>
            <w:r>
              <w:t>Give</w:t>
            </w:r>
            <w:r>
              <w:rPr>
                <w:spacing w:val="-3"/>
              </w:rPr>
              <w:t xml:space="preserve"> </w:t>
            </w:r>
            <w:r>
              <w:t>Criticism</w:t>
            </w:r>
            <w:r>
              <w:tab/>
              <w:t>Enter the Classroom</w:t>
            </w:r>
            <w:r>
              <w:rPr>
                <w:spacing w:val="-16"/>
              </w:rPr>
              <w:t xml:space="preserve"> </w:t>
            </w:r>
            <w:r>
              <w:t>Quietly</w:t>
            </w:r>
          </w:p>
        </w:tc>
      </w:tr>
      <w:tr w:rsidR="00CA15F8" w:rsidTr="001A53BE">
        <w:trPr>
          <w:trHeight w:hRule="exact" w:val="2880"/>
        </w:trPr>
        <w:tc>
          <w:tcPr>
            <w:tcW w:w="2948" w:type="dxa"/>
            <w:tcBorders>
              <w:top w:val="single" w:sz="2" w:space="0" w:color="000000"/>
              <w:bottom w:val="single" w:sz="2" w:space="0" w:color="000000"/>
              <w:right w:val="single" w:sz="2" w:space="0" w:color="000000"/>
            </w:tcBorders>
          </w:tcPr>
          <w:p w:rsidR="00CA15F8" w:rsidRDefault="00CA15F8" w:rsidP="001A53BE">
            <w:pPr>
              <w:pStyle w:val="TableParagraph"/>
              <w:spacing w:before="143"/>
              <w:ind w:left="142" w:right="154"/>
              <w:rPr>
                <w:rFonts w:ascii="Arial" w:hAnsi="Arial"/>
                <w:b/>
              </w:rPr>
            </w:pPr>
            <w:r>
              <w:rPr>
                <w:rFonts w:ascii="Arial" w:hAnsi="Arial"/>
                <w:b/>
              </w:rPr>
              <w:t>Why aren’t behaviors such as non-compliance, disruption, and</w:t>
            </w:r>
          </w:p>
          <w:p w:rsidR="00CA15F8" w:rsidRDefault="00CA15F8" w:rsidP="001A53BE">
            <w:pPr>
              <w:pStyle w:val="TableParagraph"/>
              <w:spacing w:line="244" w:lineRule="auto"/>
              <w:ind w:left="142" w:right="948"/>
              <w:rPr>
                <w:rFonts w:ascii="Arial"/>
                <w:b/>
              </w:rPr>
            </w:pPr>
            <w:proofErr w:type="gramStart"/>
            <w:r>
              <w:rPr>
                <w:rFonts w:ascii="Arial"/>
                <w:b/>
              </w:rPr>
              <w:t>defiance</w:t>
            </w:r>
            <w:proofErr w:type="gramEnd"/>
            <w:r>
              <w:rPr>
                <w:rFonts w:ascii="Arial"/>
                <w:b/>
              </w:rPr>
              <w:t xml:space="preserve"> listed as Minor Offenses?</w:t>
            </w:r>
          </w:p>
        </w:tc>
        <w:tc>
          <w:tcPr>
            <w:tcW w:w="6507" w:type="dxa"/>
            <w:tcBorders>
              <w:top w:val="single" w:sz="2" w:space="0" w:color="000000"/>
              <w:left w:val="single" w:sz="2" w:space="0" w:color="000000"/>
              <w:bottom w:val="single" w:sz="2" w:space="0" w:color="000000"/>
            </w:tcBorders>
          </w:tcPr>
          <w:p w:rsidR="00CA15F8" w:rsidRDefault="00CA15F8" w:rsidP="001A53BE">
            <w:pPr>
              <w:pStyle w:val="TableParagraph"/>
              <w:spacing w:before="140"/>
              <w:ind w:left="141" w:right="730"/>
              <w:rPr>
                <w:rFonts w:ascii="Arial" w:hAnsi="Arial"/>
              </w:rPr>
            </w:pPr>
            <w:r>
              <w:rPr>
                <w:rFonts w:ascii="Arial" w:hAnsi="Arial"/>
              </w:rPr>
              <w:t>Terms like “non-compliance” and “disruption” are vague and subjective.  By referring to Minor Offenses in terms of</w:t>
            </w:r>
          </w:p>
          <w:p w:rsidR="00CA15F8" w:rsidRDefault="00CA15F8" w:rsidP="001A53BE">
            <w:pPr>
              <w:pStyle w:val="TableParagraph"/>
              <w:ind w:left="141" w:right="204"/>
              <w:rPr>
                <w:rFonts w:ascii="Arial"/>
              </w:rPr>
            </w:pPr>
            <w:proofErr w:type="gramStart"/>
            <w:r>
              <w:rPr>
                <w:rFonts w:ascii="Arial"/>
              </w:rPr>
              <w:t>expectations</w:t>
            </w:r>
            <w:proofErr w:type="gramEnd"/>
            <w:r>
              <w:rPr>
                <w:rFonts w:ascii="Arial"/>
              </w:rPr>
              <w:t xml:space="preserve"> or social skills, staff will be able to communicate more specifically; thus allowing for more targeted interventions.</w:t>
            </w:r>
          </w:p>
          <w:p w:rsidR="00CA15F8" w:rsidRDefault="00CA15F8" w:rsidP="001A53BE">
            <w:pPr>
              <w:pStyle w:val="TableParagraph"/>
              <w:numPr>
                <w:ilvl w:val="0"/>
                <w:numId w:val="1"/>
              </w:numPr>
              <w:tabs>
                <w:tab w:val="left" w:pos="672"/>
              </w:tabs>
              <w:spacing w:before="62"/>
              <w:ind w:right="699" w:hanging="189"/>
            </w:pPr>
            <w:r>
              <w:rPr>
                <w:rFonts w:ascii="Arial"/>
                <w:b/>
                <w:w w:val="95"/>
              </w:rPr>
              <w:t>Non-Compliance</w:t>
            </w:r>
            <w:r>
              <w:rPr>
                <w:rFonts w:ascii="Arial"/>
                <w:b/>
                <w:spacing w:val="-18"/>
                <w:w w:val="95"/>
              </w:rPr>
              <w:t xml:space="preserve"> </w:t>
            </w:r>
            <w:r>
              <w:rPr>
                <w:w w:val="95"/>
              </w:rPr>
              <w:t>=</w:t>
            </w:r>
            <w:r>
              <w:rPr>
                <w:spacing w:val="-8"/>
                <w:w w:val="95"/>
              </w:rPr>
              <w:t xml:space="preserve"> </w:t>
            </w:r>
            <w:r>
              <w:rPr>
                <w:w w:val="95"/>
              </w:rPr>
              <w:t>Failure</w:t>
            </w:r>
            <w:r>
              <w:rPr>
                <w:spacing w:val="-8"/>
                <w:w w:val="95"/>
              </w:rPr>
              <w:t xml:space="preserve"> </w:t>
            </w:r>
            <w:r>
              <w:rPr>
                <w:w w:val="95"/>
              </w:rPr>
              <w:t>to</w:t>
            </w:r>
            <w:r>
              <w:rPr>
                <w:spacing w:val="-9"/>
                <w:w w:val="95"/>
              </w:rPr>
              <w:t xml:space="preserve"> </w:t>
            </w:r>
            <w:r>
              <w:rPr>
                <w:w w:val="95"/>
              </w:rPr>
              <w:t>Stay</w:t>
            </w:r>
            <w:r>
              <w:rPr>
                <w:spacing w:val="-9"/>
                <w:w w:val="95"/>
              </w:rPr>
              <w:t xml:space="preserve"> </w:t>
            </w:r>
            <w:r>
              <w:rPr>
                <w:w w:val="95"/>
              </w:rPr>
              <w:t>in</w:t>
            </w:r>
            <w:r>
              <w:rPr>
                <w:spacing w:val="-9"/>
                <w:w w:val="95"/>
              </w:rPr>
              <w:t xml:space="preserve"> </w:t>
            </w:r>
            <w:r>
              <w:rPr>
                <w:w w:val="95"/>
              </w:rPr>
              <w:t>Designated</w:t>
            </w:r>
            <w:r>
              <w:rPr>
                <w:spacing w:val="-8"/>
                <w:w w:val="95"/>
              </w:rPr>
              <w:t xml:space="preserve"> </w:t>
            </w:r>
            <w:r>
              <w:rPr>
                <w:w w:val="95"/>
              </w:rPr>
              <w:t>Areas,</w:t>
            </w:r>
            <w:r>
              <w:rPr>
                <w:spacing w:val="-8"/>
                <w:w w:val="95"/>
              </w:rPr>
              <w:t xml:space="preserve"> </w:t>
            </w:r>
            <w:r>
              <w:rPr>
                <w:w w:val="95"/>
              </w:rPr>
              <w:t xml:space="preserve">Failure </w:t>
            </w:r>
            <w:r>
              <w:t xml:space="preserve">to Comply </w:t>
            </w:r>
            <w:proofErr w:type="gramStart"/>
            <w:r>
              <w:t>to</w:t>
            </w:r>
            <w:proofErr w:type="gramEnd"/>
            <w:r>
              <w:t xml:space="preserve"> Dress Code, Failure to Follow Instructions,</w:t>
            </w:r>
            <w:r>
              <w:rPr>
                <w:spacing w:val="-11"/>
              </w:rPr>
              <w:t xml:space="preserve"> </w:t>
            </w:r>
            <w:r>
              <w:t>etc.</w:t>
            </w:r>
          </w:p>
          <w:p w:rsidR="00CA15F8" w:rsidRDefault="00CA15F8" w:rsidP="001A53BE">
            <w:pPr>
              <w:pStyle w:val="TableParagraph"/>
              <w:numPr>
                <w:ilvl w:val="0"/>
                <w:numId w:val="1"/>
              </w:numPr>
              <w:tabs>
                <w:tab w:val="left" w:pos="672"/>
              </w:tabs>
              <w:ind w:right="420" w:hanging="189"/>
            </w:pPr>
            <w:r>
              <w:rPr>
                <w:rFonts w:ascii="Arial"/>
                <w:b/>
              </w:rPr>
              <w:t>Disruptive</w:t>
            </w:r>
            <w:r>
              <w:rPr>
                <w:rFonts w:ascii="Arial"/>
                <w:b/>
                <w:spacing w:val="-33"/>
              </w:rPr>
              <w:t xml:space="preserve"> </w:t>
            </w:r>
            <w:r>
              <w:t>=</w:t>
            </w:r>
            <w:r>
              <w:rPr>
                <w:spacing w:val="-22"/>
              </w:rPr>
              <w:t xml:space="preserve"> </w:t>
            </w:r>
            <w:r>
              <w:t>Failure</w:t>
            </w:r>
            <w:r>
              <w:rPr>
                <w:spacing w:val="-22"/>
              </w:rPr>
              <w:t xml:space="preserve"> </w:t>
            </w:r>
            <w:r>
              <w:t>to</w:t>
            </w:r>
            <w:r>
              <w:rPr>
                <w:spacing w:val="-22"/>
              </w:rPr>
              <w:t xml:space="preserve"> </w:t>
            </w:r>
            <w:r>
              <w:t>Enter</w:t>
            </w:r>
            <w:r>
              <w:rPr>
                <w:spacing w:val="-22"/>
              </w:rPr>
              <w:t xml:space="preserve"> </w:t>
            </w:r>
            <w:r>
              <w:t>the</w:t>
            </w:r>
            <w:r>
              <w:rPr>
                <w:spacing w:val="-21"/>
              </w:rPr>
              <w:t xml:space="preserve"> </w:t>
            </w:r>
            <w:r>
              <w:t>Classroom</w:t>
            </w:r>
            <w:r>
              <w:rPr>
                <w:spacing w:val="-21"/>
              </w:rPr>
              <w:t xml:space="preserve"> </w:t>
            </w:r>
            <w:r>
              <w:t>Quietly,</w:t>
            </w:r>
            <w:r>
              <w:rPr>
                <w:spacing w:val="-22"/>
              </w:rPr>
              <w:t xml:space="preserve"> </w:t>
            </w:r>
            <w:r>
              <w:t>Failure</w:t>
            </w:r>
            <w:r>
              <w:rPr>
                <w:spacing w:val="-22"/>
              </w:rPr>
              <w:t xml:space="preserve"> </w:t>
            </w:r>
            <w:r>
              <w:t>to</w:t>
            </w:r>
            <w:r>
              <w:rPr>
                <w:spacing w:val="-22"/>
              </w:rPr>
              <w:t xml:space="preserve"> </w:t>
            </w:r>
            <w:r>
              <w:t>Stay on Task, Failure to Use Appropriate Voice Tone,</w:t>
            </w:r>
            <w:r>
              <w:rPr>
                <w:spacing w:val="-26"/>
              </w:rPr>
              <w:t xml:space="preserve"> </w:t>
            </w:r>
            <w:r>
              <w:t>etc.</w:t>
            </w:r>
          </w:p>
          <w:p w:rsidR="00CA15F8" w:rsidRDefault="00CA15F8" w:rsidP="001A53BE">
            <w:pPr>
              <w:pStyle w:val="TableParagraph"/>
              <w:numPr>
                <w:ilvl w:val="0"/>
                <w:numId w:val="1"/>
              </w:numPr>
              <w:tabs>
                <w:tab w:val="left" w:pos="672"/>
              </w:tabs>
              <w:ind w:right="649" w:hanging="189"/>
            </w:pPr>
            <w:r>
              <w:rPr>
                <w:rFonts w:ascii="Arial"/>
                <w:b/>
              </w:rPr>
              <w:t>Defiance</w:t>
            </w:r>
            <w:r>
              <w:rPr>
                <w:rFonts w:ascii="Arial"/>
                <w:b/>
                <w:spacing w:val="-30"/>
              </w:rPr>
              <w:t xml:space="preserve"> </w:t>
            </w:r>
            <w:r>
              <w:t>=</w:t>
            </w:r>
            <w:r>
              <w:rPr>
                <w:spacing w:val="-20"/>
              </w:rPr>
              <w:t xml:space="preserve"> </w:t>
            </w:r>
            <w:r>
              <w:t>Failure</w:t>
            </w:r>
            <w:r>
              <w:rPr>
                <w:spacing w:val="-20"/>
              </w:rPr>
              <w:t xml:space="preserve"> </w:t>
            </w:r>
            <w:r>
              <w:t>to</w:t>
            </w:r>
            <w:r>
              <w:rPr>
                <w:spacing w:val="-20"/>
              </w:rPr>
              <w:t xml:space="preserve"> </w:t>
            </w:r>
            <w:r>
              <w:t>Stop/Look/Listen</w:t>
            </w:r>
            <w:r>
              <w:rPr>
                <w:spacing w:val="-20"/>
              </w:rPr>
              <w:t xml:space="preserve"> </w:t>
            </w:r>
            <w:r>
              <w:t>to</w:t>
            </w:r>
            <w:r>
              <w:rPr>
                <w:spacing w:val="-20"/>
              </w:rPr>
              <w:t xml:space="preserve"> </w:t>
            </w:r>
            <w:r>
              <w:t>Staff,</w:t>
            </w:r>
            <w:r>
              <w:rPr>
                <w:spacing w:val="-20"/>
              </w:rPr>
              <w:t xml:space="preserve"> </w:t>
            </w:r>
            <w:r>
              <w:t>Failure</w:t>
            </w:r>
            <w:r>
              <w:rPr>
                <w:spacing w:val="-20"/>
              </w:rPr>
              <w:t xml:space="preserve"> </w:t>
            </w:r>
            <w:r>
              <w:t>to</w:t>
            </w:r>
            <w:r>
              <w:rPr>
                <w:spacing w:val="-20"/>
              </w:rPr>
              <w:t xml:space="preserve"> </w:t>
            </w:r>
            <w:r>
              <w:t>Accept Feedback/Consequence, Failure to Report to Designated</w:t>
            </w:r>
            <w:r>
              <w:rPr>
                <w:spacing w:val="-23"/>
              </w:rPr>
              <w:t xml:space="preserve"> </w:t>
            </w:r>
            <w:r>
              <w:t>Area</w:t>
            </w:r>
          </w:p>
        </w:tc>
      </w:tr>
      <w:tr w:rsidR="00CA15F8" w:rsidTr="001A53BE">
        <w:trPr>
          <w:trHeight w:hRule="exact" w:val="2066"/>
        </w:trPr>
        <w:tc>
          <w:tcPr>
            <w:tcW w:w="2948" w:type="dxa"/>
            <w:tcBorders>
              <w:top w:val="single" w:sz="2" w:space="0" w:color="000000"/>
              <w:bottom w:val="single" w:sz="2" w:space="0" w:color="000000"/>
              <w:right w:val="single" w:sz="2" w:space="0" w:color="000000"/>
            </w:tcBorders>
          </w:tcPr>
          <w:p w:rsidR="00CA15F8" w:rsidRDefault="00CA15F8" w:rsidP="001A53BE">
            <w:pPr>
              <w:pStyle w:val="TableParagraph"/>
              <w:spacing w:before="141" w:line="242" w:lineRule="auto"/>
              <w:ind w:left="142" w:right="337"/>
              <w:rPr>
                <w:rFonts w:ascii="Arial"/>
                <w:b/>
              </w:rPr>
            </w:pPr>
            <w:r>
              <w:rPr>
                <w:rFonts w:ascii="Arial"/>
                <w:b/>
              </w:rPr>
              <w:t>Who is responsible to intervene when a Minor Offense occurs?</w:t>
            </w:r>
          </w:p>
        </w:tc>
        <w:tc>
          <w:tcPr>
            <w:tcW w:w="6507" w:type="dxa"/>
            <w:tcBorders>
              <w:top w:val="single" w:sz="2" w:space="0" w:color="000000"/>
              <w:left w:val="single" w:sz="2" w:space="0" w:color="000000"/>
              <w:bottom w:val="single" w:sz="2" w:space="0" w:color="000000"/>
            </w:tcBorders>
          </w:tcPr>
          <w:p w:rsidR="00CA15F8" w:rsidRDefault="00CA15F8" w:rsidP="001A53BE">
            <w:pPr>
              <w:pStyle w:val="TableParagraph"/>
              <w:spacing w:before="139"/>
              <w:ind w:left="141" w:right="748"/>
              <w:rPr>
                <w:rFonts w:ascii="Arial" w:hAnsi="Arial"/>
              </w:rPr>
            </w:pPr>
            <w:r>
              <w:rPr>
                <w:rFonts w:ascii="Arial" w:hAnsi="Arial"/>
              </w:rPr>
              <w:t>The person who witnesses a Minor Offense is expected to intervene “on the spot” (i.e., immediately or as soon as possible) within the environment in which the</w:t>
            </w:r>
            <w:r>
              <w:rPr>
                <w:rFonts w:ascii="Arial" w:hAnsi="Arial"/>
                <w:spacing w:val="-12"/>
              </w:rPr>
              <w:t xml:space="preserve"> </w:t>
            </w:r>
            <w:r>
              <w:rPr>
                <w:rFonts w:ascii="Arial" w:hAnsi="Arial"/>
              </w:rPr>
              <w:t>misbehavior</w:t>
            </w:r>
          </w:p>
          <w:p w:rsidR="00CA15F8" w:rsidRDefault="00CA15F8" w:rsidP="001A53BE">
            <w:pPr>
              <w:pStyle w:val="TableParagraph"/>
              <w:ind w:left="141" w:right="382"/>
              <w:rPr>
                <w:rFonts w:ascii="Arial" w:hAnsi="Arial"/>
              </w:rPr>
            </w:pPr>
            <w:proofErr w:type="gramStart"/>
            <w:r>
              <w:rPr>
                <w:rFonts w:ascii="Arial" w:hAnsi="Arial"/>
              </w:rPr>
              <w:t>occurred</w:t>
            </w:r>
            <w:proofErr w:type="gramEnd"/>
            <w:r>
              <w:rPr>
                <w:rFonts w:ascii="Arial" w:hAnsi="Arial"/>
              </w:rPr>
              <w:t>.  Sending a student to talk with an adult who was not involved in the specifics of the incident is seldom</w:t>
            </w:r>
            <w:r>
              <w:rPr>
                <w:rFonts w:ascii="Arial" w:hAnsi="Arial"/>
                <w:spacing w:val="-14"/>
              </w:rPr>
              <w:t xml:space="preserve"> </w:t>
            </w:r>
            <w:r>
              <w:rPr>
                <w:rFonts w:ascii="Arial" w:hAnsi="Arial"/>
              </w:rPr>
              <w:t>effective in changing behavior — especially for individuals who demonstrate a pattern of</w:t>
            </w:r>
            <w:r>
              <w:rPr>
                <w:rFonts w:ascii="Arial" w:hAnsi="Arial"/>
                <w:spacing w:val="-8"/>
              </w:rPr>
              <w:t xml:space="preserve"> </w:t>
            </w:r>
            <w:r>
              <w:rPr>
                <w:rFonts w:ascii="Arial" w:hAnsi="Arial"/>
              </w:rPr>
              <w:t>misbehavior.</w:t>
            </w:r>
          </w:p>
        </w:tc>
      </w:tr>
      <w:tr w:rsidR="00CA15F8" w:rsidTr="001A53BE">
        <w:trPr>
          <w:trHeight w:hRule="exact" w:val="2566"/>
        </w:trPr>
        <w:tc>
          <w:tcPr>
            <w:tcW w:w="2948" w:type="dxa"/>
            <w:tcBorders>
              <w:top w:val="single" w:sz="2" w:space="0" w:color="000000"/>
              <w:right w:val="single" w:sz="2" w:space="0" w:color="000000"/>
            </w:tcBorders>
          </w:tcPr>
          <w:p w:rsidR="00CA15F8" w:rsidRDefault="00CA15F8" w:rsidP="001A53BE">
            <w:pPr>
              <w:pStyle w:val="TableParagraph"/>
              <w:spacing w:before="143" w:line="242" w:lineRule="auto"/>
              <w:ind w:left="142" w:right="766"/>
              <w:rPr>
                <w:rFonts w:ascii="Arial" w:hAnsi="Arial"/>
                <w:b/>
              </w:rPr>
            </w:pPr>
            <w:r>
              <w:rPr>
                <w:rFonts w:ascii="Arial" w:hAnsi="Arial"/>
                <w:b/>
              </w:rPr>
              <w:t>When does a Minor Offense become “chronic?”</w:t>
            </w:r>
          </w:p>
        </w:tc>
        <w:tc>
          <w:tcPr>
            <w:tcW w:w="6507" w:type="dxa"/>
            <w:tcBorders>
              <w:top w:val="single" w:sz="2" w:space="0" w:color="000000"/>
              <w:left w:val="single" w:sz="2" w:space="0" w:color="000000"/>
            </w:tcBorders>
          </w:tcPr>
          <w:p w:rsidR="00CA15F8" w:rsidRDefault="00CA15F8" w:rsidP="001A53BE">
            <w:pPr>
              <w:pStyle w:val="TableParagraph"/>
              <w:spacing w:before="140"/>
              <w:ind w:left="141" w:right="265"/>
              <w:rPr>
                <w:rFonts w:ascii="Arial" w:hAnsi="Arial"/>
              </w:rPr>
            </w:pPr>
            <w:r>
              <w:rPr>
                <w:rFonts w:ascii="Arial" w:hAnsi="Arial"/>
              </w:rPr>
              <w:t xml:space="preserve">A Minor Offense is considered “chronic” when it continues </w:t>
            </w:r>
            <w:r>
              <w:rPr>
                <w:rFonts w:ascii="Arial" w:hAnsi="Arial"/>
                <w:b/>
                <w:i/>
              </w:rPr>
              <w:t>despite the implementation of systematic environmental modifications and interventions</w:t>
            </w:r>
            <w:r>
              <w:rPr>
                <w:rFonts w:ascii="Arial" w:hAnsi="Arial"/>
              </w:rPr>
              <w:t>. Identifying a behavior as “chronic,” alerts administration and support staff that additional observations, feedback, and assistance is required to address the misbehavior. The remaining pages within this section provide additional information regarding environmental and instructional modifications as well as classroom interventions for Minor Offenses.</w:t>
            </w:r>
          </w:p>
        </w:tc>
      </w:tr>
    </w:tbl>
    <w:p w:rsidR="002440CD" w:rsidRDefault="002440CD"/>
    <w:sectPr w:rsidR="002440CD" w:rsidSect="00CA15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B4EB4"/>
    <w:multiLevelType w:val="hybridMultilevel"/>
    <w:tmpl w:val="4BA0C2AA"/>
    <w:lvl w:ilvl="0" w:tplc="A34C2718">
      <w:start w:val="1"/>
      <w:numFmt w:val="bullet"/>
      <w:lvlText w:val=""/>
      <w:lvlJc w:val="left"/>
      <w:pPr>
        <w:ind w:left="673" w:hanging="188"/>
      </w:pPr>
      <w:rPr>
        <w:rFonts w:ascii="Symbol" w:eastAsia="Symbol" w:hAnsi="Symbol" w:cs="Symbol" w:hint="default"/>
        <w:w w:val="99"/>
        <w:sz w:val="18"/>
        <w:szCs w:val="18"/>
      </w:rPr>
    </w:lvl>
    <w:lvl w:ilvl="1" w:tplc="37120C48">
      <w:start w:val="1"/>
      <w:numFmt w:val="bullet"/>
      <w:lvlText w:val="•"/>
      <w:lvlJc w:val="left"/>
      <w:pPr>
        <w:ind w:left="1262" w:hanging="188"/>
      </w:pPr>
      <w:rPr>
        <w:rFonts w:hint="default"/>
      </w:rPr>
    </w:lvl>
    <w:lvl w:ilvl="2" w:tplc="8DC2E136">
      <w:start w:val="1"/>
      <w:numFmt w:val="bullet"/>
      <w:lvlText w:val="•"/>
      <w:lvlJc w:val="left"/>
      <w:pPr>
        <w:ind w:left="1844" w:hanging="188"/>
      </w:pPr>
      <w:rPr>
        <w:rFonts w:hint="default"/>
      </w:rPr>
    </w:lvl>
    <w:lvl w:ilvl="3" w:tplc="5BAA0C36">
      <w:start w:val="1"/>
      <w:numFmt w:val="bullet"/>
      <w:lvlText w:val="•"/>
      <w:lvlJc w:val="left"/>
      <w:pPr>
        <w:ind w:left="2427" w:hanging="188"/>
      </w:pPr>
      <w:rPr>
        <w:rFonts w:hint="default"/>
      </w:rPr>
    </w:lvl>
    <w:lvl w:ilvl="4" w:tplc="B048475E">
      <w:start w:val="1"/>
      <w:numFmt w:val="bullet"/>
      <w:lvlText w:val="•"/>
      <w:lvlJc w:val="left"/>
      <w:pPr>
        <w:ind w:left="3009" w:hanging="188"/>
      </w:pPr>
      <w:rPr>
        <w:rFonts w:hint="default"/>
      </w:rPr>
    </w:lvl>
    <w:lvl w:ilvl="5" w:tplc="72B4F624">
      <w:start w:val="1"/>
      <w:numFmt w:val="bullet"/>
      <w:lvlText w:val="•"/>
      <w:lvlJc w:val="left"/>
      <w:pPr>
        <w:ind w:left="3592" w:hanging="188"/>
      </w:pPr>
      <w:rPr>
        <w:rFonts w:hint="default"/>
      </w:rPr>
    </w:lvl>
    <w:lvl w:ilvl="6" w:tplc="519680FC">
      <w:start w:val="1"/>
      <w:numFmt w:val="bullet"/>
      <w:lvlText w:val="•"/>
      <w:lvlJc w:val="left"/>
      <w:pPr>
        <w:ind w:left="4174" w:hanging="188"/>
      </w:pPr>
      <w:rPr>
        <w:rFonts w:hint="default"/>
      </w:rPr>
    </w:lvl>
    <w:lvl w:ilvl="7" w:tplc="BDD887B2">
      <w:start w:val="1"/>
      <w:numFmt w:val="bullet"/>
      <w:lvlText w:val="•"/>
      <w:lvlJc w:val="left"/>
      <w:pPr>
        <w:ind w:left="4756" w:hanging="188"/>
      </w:pPr>
      <w:rPr>
        <w:rFonts w:hint="default"/>
      </w:rPr>
    </w:lvl>
    <w:lvl w:ilvl="8" w:tplc="55E230D2">
      <w:start w:val="1"/>
      <w:numFmt w:val="bullet"/>
      <w:lvlText w:val="•"/>
      <w:lvlJc w:val="left"/>
      <w:pPr>
        <w:ind w:left="5339" w:hanging="1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F8"/>
    <w:rsid w:val="002440CD"/>
    <w:rsid w:val="00CA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02C2-2C11-456E-87D3-E73AFD5C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15F8"/>
    <w:pPr>
      <w:widowControl w:val="0"/>
      <w:spacing w:after="0" w:line="240" w:lineRule="auto"/>
    </w:pPr>
    <w:rPr>
      <w:rFonts w:ascii="Arial Narrow" w:eastAsia="Arial Narrow" w:hAnsi="Arial Narrow" w:cs="Arial Narrow"/>
    </w:rPr>
  </w:style>
  <w:style w:type="paragraph" w:styleId="Heading3">
    <w:name w:val="heading 3"/>
    <w:basedOn w:val="Normal"/>
    <w:link w:val="Heading3Char"/>
    <w:uiPriority w:val="1"/>
    <w:qFormat/>
    <w:rsid w:val="00CA15F8"/>
    <w:pPr>
      <w:spacing w:before="50"/>
      <w:ind w:left="126"/>
      <w:jc w:val="both"/>
      <w:outlineLvl w:val="2"/>
    </w:pPr>
    <w:rPr>
      <w:rFonts w:ascii="Arial" w:eastAsia="Arial" w:hAnsi="Arial" w:cs="Arial"/>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A15F8"/>
    <w:rPr>
      <w:rFonts w:ascii="Arial" w:eastAsia="Arial" w:hAnsi="Arial" w:cs="Arial"/>
      <w:b/>
      <w:bCs/>
      <w:i/>
      <w:sz w:val="32"/>
      <w:szCs w:val="32"/>
    </w:rPr>
  </w:style>
  <w:style w:type="paragraph" w:styleId="BodyText">
    <w:name w:val="Body Text"/>
    <w:basedOn w:val="Normal"/>
    <w:link w:val="BodyTextChar"/>
    <w:uiPriority w:val="1"/>
    <w:qFormat/>
    <w:rsid w:val="00CA15F8"/>
    <w:rPr>
      <w:rFonts w:ascii="Arial" w:eastAsia="Arial" w:hAnsi="Arial" w:cs="Arial"/>
    </w:rPr>
  </w:style>
  <w:style w:type="character" w:customStyle="1" w:styleId="BodyTextChar">
    <w:name w:val="Body Text Char"/>
    <w:basedOn w:val="DefaultParagraphFont"/>
    <w:link w:val="BodyText"/>
    <w:uiPriority w:val="1"/>
    <w:rsid w:val="00CA15F8"/>
    <w:rPr>
      <w:rFonts w:ascii="Arial" w:eastAsia="Arial" w:hAnsi="Arial" w:cs="Arial"/>
    </w:rPr>
  </w:style>
  <w:style w:type="paragraph" w:customStyle="1" w:styleId="TableParagraph">
    <w:name w:val="Table Paragraph"/>
    <w:basedOn w:val="Normal"/>
    <w:uiPriority w:val="1"/>
    <w:qFormat/>
    <w:rsid w:val="00CA15F8"/>
    <w:pPr>
      <w:ind w:left="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Ernest</dc:creator>
  <cp:keywords/>
  <dc:description/>
  <cp:lastModifiedBy>Benjamin Ernest</cp:lastModifiedBy>
  <cp:revision>1</cp:revision>
  <dcterms:created xsi:type="dcterms:W3CDTF">2016-08-05T20:50:00Z</dcterms:created>
  <dcterms:modified xsi:type="dcterms:W3CDTF">2016-08-05T20:51:00Z</dcterms:modified>
</cp:coreProperties>
</file>